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30C7E9" w14:textId="77777777" w:rsidR="00810686" w:rsidRPr="00810686" w:rsidRDefault="00810686" w:rsidP="00810686">
      <w:pPr>
        <w:pBdr>
          <w:bottom w:val="single" w:sz="6" w:space="0" w:color="A2A9B1"/>
        </w:pBdr>
        <w:spacing w:after="60" w:line="240" w:lineRule="auto"/>
        <w:outlineLvl w:val="0"/>
        <w:rPr>
          <w:rFonts w:ascii="Georgia" w:eastAsia="Times New Roman" w:hAnsi="Georgia" w:cs="Times New Roman"/>
          <w:color w:val="000000"/>
          <w:kern w:val="36"/>
          <w:sz w:val="43"/>
          <w:szCs w:val="43"/>
          <w:lang w:eastAsia="en-GB"/>
        </w:rPr>
      </w:pPr>
      <w:r w:rsidRPr="00810686">
        <w:rPr>
          <w:rFonts w:ascii="Georgia" w:eastAsia="Times New Roman" w:hAnsi="Georgia" w:cs="Times New Roman"/>
          <w:color w:val="000000"/>
          <w:kern w:val="36"/>
          <w:sz w:val="43"/>
          <w:szCs w:val="43"/>
          <w:lang w:eastAsia="en-GB"/>
        </w:rPr>
        <w:t>Litigant in person</w:t>
      </w:r>
    </w:p>
    <w:p w14:paraId="34D2CE32" w14:textId="77777777" w:rsidR="00810686" w:rsidRPr="00810686" w:rsidRDefault="00810686" w:rsidP="00810686">
      <w:pPr>
        <w:spacing w:before="120" w:after="120" w:line="240" w:lineRule="auto"/>
        <w:jc w:val="both"/>
        <w:rPr>
          <w:rFonts w:ascii="Arial" w:eastAsia="Times New Roman" w:hAnsi="Arial" w:cs="Arial"/>
          <w:color w:val="202122"/>
          <w:sz w:val="24"/>
          <w:szCs w:val="24"/>
          <w:lang w:val="en" w:eastAsia="en-GB"/>
        </w:rPr>
      </w:pPr>
      <w:r w:rsidRPr="00810686">
        <w:rPr>
          <w:rFonts w:ascii="Arial" w:eastAsia="Times New Roman" w:hAnsi="Arial" w:cs="Arial"/>
          <w:color w:val="202122"/>
          <w:sz w:val="24"/>
          <w:szCs w:val="24"/>
          <w:lang w:val="en" w:eastAsia="en-GB"/>
        </w:rPr>
        <w:t>In </w:t>
      </w:r>
      <w:hyperlink r:id="rId5" w:tooltip="England and Wales" w:history="1">
        <w:r w:rsidRPr="00810686">
          <w:rPr>
            <w:rFonts w:ascii="Arial" w:eastAsia="Times New Roman" w:hAnsi="Arial" w:cs="Arial"/>
            <w:color w:val="0645AD"/>
            <w:sz w:val="24"/>
            <w:szCs w:val="24"/>
            <w:lang w:val="en" w:eastAsia="en-GB"/>
          </w:rPr>
          <w:t>England and Wales</w:t>
        </w:r>
      </w:hyperlink>
      <w:r w:rsidRPr="00810686">
        <w:rPr>
          <w:rFonts w:ascii="Arial" w:eastAsia="Times New Roman" w:hAnsi="Arial" w:cs="Arial"/>
          <w:color w:val="202122"/>
          <w:sz w:val="24"/>
          <w:szCs w:val="24"/>
          <w:lang w:val="en" w:eastAsia="en-GB"/>
        </w:rPr>
        <w:t>, a </w:t>
      </w:r>
      <w:r w:rsidRPr="00810686">
        <w:rPr>
          <w:rFonts w:ascii="Arial" w:eastAsia="Times New Roman" w:hAnsi="Arial" w:cs="Arial"/>
          <w:b/>
          <w:bCs/>
          <w:color w:val="202122"/>
          <w:sz w:val="24"/>
          <w:szCs w:val="24"/>
          <w:lang w:val="en" w:eastAsia="en-GB"/>
        </w:rPr>
        <w:t>litigant in person</w:t>
      </w:r>
      <w:r w:rsidRPr="00810686">
        <w:rPr>
          <w:rFonts w:ascii="Arial" w:eastAsia="Times New Roman" w:hAnsi="Arial" w:cs="Arial"/>
          <w:color w:val="202122"/>
          <w:sz w:val="24"/>
          <w:szCs w:val="24"/>
          <w:lang w:val="en" w:eastAsia="en-GB"/>
        </w:rPr>
        <w:t xml:space="preserve"> is an individual, company or </w:t>
      </w:r>
      <w:proofErr w:type="spellStart"/>
      <w:r w:rsidRPr="00810686">
        <w:rPr>
          <w:rFonts w:ascii="Arial" w:eastAsia="Times New Roman" w:hAnsi="Arial" w:cs="Arial"/>
          <w:color w:val="202122"/>
          <w:sz w:val="24"/>
          <w:szCs w:val="24"/>
          <w:lang w:val="en" w:eastAsia="en-GB"/>
        </w:rPr>
        <w:t>organisation</w:t>
      </w:r>
      <w:proofErr w:type="spellEnd"/>
      <w:r w:rsidRPr="00810686">
        <w:rPr>
          <w:rFonts w:ascii="Arial" w:eastAsia="Times New Roman" w:hAnsi="Arial" w:cs="Arial"/>
          <w:color w:val="202122"/>
          <w:sz w:val="24"/>
          <w:szCs w:val="24"/>
          <w:lang w:val="en" w:eastAsia="en-GB"/>
        </w:rPr>
        <w:t xml:space="preserve"> that has </w:t>
      </w:r>
      <w:hyperlink r:id="rId6" w:tooltip="Rights of audience" w:history="1">
        <w:r w:rsidRPr="00810686">
          <w:rPr>
            <w:rFonts w:ascii="Arial" w:eastAsia="Times New Roman" w:hAnsi="Arial" w:cs="Arial"/>
            <w:color w:val="0645AD"/>
            <w:sz w:val="24"/>
            <w:szCs w:val="24"/>
            <w:lang w:val="en" w:eastAsia="en-GB"/>
          </w:rPr>
          <w:t>rights of audience</w:t>
        </w:r>
      </w:hyperlink>
      <w:r w:rsidRPr="00810686">
        <w:rPr>
          <w:rFonts w:ascii="Arial" w:eastAsia="Times New Roman" w:hAnsi="Arial" w:cs="Arial"/>
          <w:color w:val="202122"/>
          <w:sz w:val="24"/>
          <w:szCs w:val="24"/>
          <w:lang w:val="en" w:eastAsia="en-GB"/>
        </w:rPr>
        <w:t> (this is, the right to address the court) and is not represented in a </w:t>
      </w:r>
      <w:hyperlink r:id="rId7" w:tooltip="Courts of England and Wales" w:history="1">
        <w:r w:rsidRPr="00810686">
          <w:rPr>
            <w:rFonts w:ascii="Arial" w:eastAsia="Times New Roman" w:hAnsi="Arial" w:cs="Arial"/>
            <w:color w:val="0645AD"/>
            <w:sz w:val="24"/>
            <w:szCs w:val="24"/>
            <w:lang w:val="en" w:eastAsia="en-GB"/>
          </w:rPr>
          <w:t>court of England and Wales</w:t>
        </w:r>
      </w:hyperlink>
      <w:r w:rsidRPr="00810686">
        <w:rPr>
          <w:rFonts w:ascii="Arial" w:eastAsia="Times New Roman" w:hAnsi="Arial" w:cs="Arial"/>
          <w:color w:val="202122"/>
          <w:sz w:val="24"/>
          <w:szCs w:val="24"/>
          <w:lang w:val="en" w:eastAsia="en-GB"/>
        </w:rPr>
        <w:t> by a </w:t>
      </w:r>
      <w:hyperlink r:id="rId8" w:tooltip="Solicitor" w:history="1">
        <w:r w:rsidRPr="00810686">
          <w:rPr>
            <w:rFonts w:ascii="Arial" w:eastAsia="Times New Roman" w:hAnsi="Arial" w:cs="Arial"/>
            <w:color w:val="0645AD"/>
            <w:sz w:val="24"/>
            <w:szCs w:val="24"/>
            <w:lang w:val="en" w:eastAsia="en-GB"/>
          </w:rPr>
          <w:t>solicitor</w:t>
        </w:r>
      </w:hyperlink>
      <w:r w:rsidRPr="00810686">
        <w:rPr>
          <w:rFonts w:ascii="Arial" w:eastAsia="Times New Roman" w:hAnsi="Arial" w:cs="Arial"/>
          <w:color w:val="202122"/>
          <w:sz w:val="24"/>
          <w:szCs w:val="24"/>
          <w:lang w:val="en" w:eastAsia="en-GB"/>
        </w:rPr>
        <w:t> or </w:t>
      </w:r>
      <w:hyperlink r:id="rId9" w:tooltip="Barrister" w:history="1">
        <w:r w:rsidRPr="00810686">
          <w:rPr>
            <w:rFonts w:ascii="Arial" w:eastAsia="Times New Roman" w:hAnsi="Arial" w:cs="Arial"/>
            <w:color w:val="0645AD"/>
            <w:sz w:val="24"/>
            <w:szCs w:val="24"/>
            <w:lang w:val="en" w:eastAsia="en-GB"/>
          </w:rPr>
          <w:t>barrister</w:t>
        </w:r>
      </w:hyperlink>
      <w:r w:rsidRPr="00810686">
        <w:rPr>
          <w:rFonts w:ascii="Arial" w:eastAsia="Times New Roman" w:hAnsi="Arial" w:cs="Arial"/>
          <w:color w:val="202122"/>
          <w:sz w:val="24"/>
          <w:szCs w:val="24"/>
          <w:lang w:val="en" w:eastAsia="en-GB"/>
        </w:rPr>
        <w:t>. Instructing a barrister and not a solicitor, for example through the </w:t>
      </w:r>
      <w:hyperlink r:id="rId10" w:tooltip="Public Access Scheme" w:history="1">
        <w:r w:rsidRPr="00810686">
          <w:rPr>
            <w:rFonts w:ascii="Arial" w:eastAsia="Times New Roman" w:hAnsi="Arial" w:cs="Arial"/>
            <w:color w:val="0645AD"/>
            <w:sz w:val="24"/>
            <w:szCs w:val="24"/>
            <w:lang w:val="en" w:eastAsia="en-GB"/>
          </w:rPr>
          <w:t>Public Access Scheme</w:t>
        </w:r>
      </w:hyperlink>
      <w:r w:rsidRPr="00810686">
        <w:rPr>
          <w:rFonts w:ascii="Arial" w:eastAsia="Times New Roman" w:hAnsi="Arial" w:cs="Arial"/>
          <w:color w:val="202122"/>
          <w:sz w:val="24"/>
          <w:szCs w:val="24"/>
          <w:lang w:val="en" w:eastAsia="en-GB"/>
        </w:rPr>
        <w:t>, however, does not prevent the party on whose behalf the barrister had been instructed from being a litigant in person.</w:t>
      </w:r>
      <w:hyperlink r:id="rId11" w:anchor="cite_note-1" w:history="1">
        <w:r w:rsidRPr="00810686">
          <w:rPr>
            <w:rFonts w:ascii="Arial" w:eastAsia="Times New Roman" w:hAnsi="Arial" w:cs="Arial"/>
            <w:color w:val="0645AD"/>
            <w:sz w:val="17"/>
            <w:szCs w:val="17"/>
            <w:vertAlign w:val="superscript"/>
            <w:lang w:val="en" w:eastAsia="en-GB"/>
          </w:rPr>
          <w:t>[1]</w:t>
        </w:r>
      </w:hyperlink>
    </w:p>
    <w:p w14:paraId="163D156E" w14:textId="77777777" w:rsidR="00810686" w:rsidRPr="00810686" w:rsidRDefault="00810686" w:rsidP="00810686">
      <w:pPr>
        <w:spacing w:before="120" w:after="120" w:line="240" w:lineRule="auto"/>
        <w:jc w:val="both"/>
        <w:rPr>
          <w:rFonts w:ascii="Arial" w:eastAsia="Times New Roman" w:hAnsi="Arial" w:cs="Arial"/>
          <w:color w:val="202122"/>
          <w:sz w:val="24"/>
          <w:szCs w:val="24"/>
          <w:lang w:val="en" w:eastAsia="en-GB"/>
        </w:rPr>
      </w:pPr>
      <w:r w:rsidRPr="00810686">
        <w:rPr>
          <w:rFonts w:ascii="Arial" w:eastAsia="Times New Roman" w:hAnsi="Arial" w:cs="Arial"/>
          <w:color w:val="202122"/>
          <w:sz w:val="24"/>
          <w:szCs w:val="24"/>
          <w:lang w:val="en" w:eastAsia="en-GB"/>
        </w:rPr>
        <w:t>It is possible nevertheless for litigants in England and Wales to obtain free legal advice and in some cases representation from the </w:t>
      </w:r>
      <w:hyperlink r:id="rId12" w:tooltip="Citizens Advice Bureau" w:history="1">
        <w:r w:rsidRPr="00810686">
          <w:rPr>
            <w:rFonts w:ascii="Arial" w:eastAsia="Times New Roman" w:hAnsi="Arial" w:cs="Arial"/>
            <w:color w:val="0645AD"/>
            <w:sz w:val="24"/>
            <w:szCs w:val="24"/>
            <w:lang w:val="en" w:eastAsia="en-GB"/>
          </w:rPr>
          <w:t>Citizens Advice Bureau</w:t>
        </w:r>
      </w:hyperlink>
      <w:r w:rsidRPr="00810686">
        <w:rPr>
          <w:rFonts w:ascii="Arial" w:eastAsia="Times New Roman" w:hAnsi="Arial" w:cs="Arial"/>
          <w:color w:val="202122"/>
          <w:sz w:val="24"/>
          <w:szCs w:val="24"/>
          <w:lang w:val="en" w:eastAsia="en-GB"/>
        </w:rPr>
        <w:t> (CAB).</w:t>
      </w:r>
    </w:p>
    <w:p w14:paraId="406BD874" w14:textId="77777777" w:rsidR="00810686" w:rsidRPr="00810686" w:rsidRDefault="00810686" w:rsidP="00810686">
      <w:pPr>
        <w:spacing w:before="120" w:after="120" w:line="240" w:lineRule="auto"/>
        <w:jc w:val="both"/>
        <w:rPr>
          <w:rFonts w:ascii="Arial" w:eastAsia="Times New Roman" w:hAnsi="Arial" w:cs="Arial"/>
          <w:color w:val="202122"/>
          <w:sz w:val="24"/>
          <w:szCs w:val="24"/>
          <w:lang w:val="en" w:eastAsia="en-GB"/>
        </w:rPr>
      </w:pPr>
      <w:r w:rsidRPr="00810686">
        <w:rPr>
          <w:rFonts w:ascii="Arial" w:eastAsia="Times New Roman" w:hAnsi="Arial" w:cs="Arial"/>
          <w:color w:val="202122"/>
          <w:sz w:val="24"/>
          <w:szCs w:val="24"/>
          <w:lang w:val="en" w:eastAsia="en-GB"/>
        </w:rPr>
        <w:t>The term </w:t>
      </w:r>
      <w:r w:rsidRPr="00810686">
        <w:rPr>
          <w:rFonts w:ascii="Arial" w:eastAsia="Times New Roman" w:hAnsi="Arial" w:cs="Arial"/>
          <w:i/>
          <w:iCs/>
          <w:color w:val="202122"/>
          <w:sz w:val="24"/>
          <w:szCs w:val="24"/>
          <w:lang w:val="en" w:eastAsia="en-GB"/>
        </w:rPr>
        <w:t>litigant in person</w:t>
      </w:r>
      <w:r w:rsidRPr="00810686">
        <w:rPr>
          <w:rFonts w:ascii="Arial" w:eastAsia="Times New Roman" w:hAnsi="Arial" w:cs="Arial"/>
          <w:color w:val="202122"/>
          <w:sz w:val="24"/>
          <w:szCs w:val="24"/>
          <w:lang w:val="en" w:eastAsia="en-GB"/>
        </w:rPr>
        <w:t> is also used in the similar (but separate) legal systems of </w:t>
      </w:r>
      <w:hyperlink r:id="rId13" w:tooltip="Law of the Republic of Ireland" w:history="1">
        <w:r w:rsidRPr="00810686">
          <w:rPr>
            <w:rFonts w:ascii="Arial" w:eastAsia="Times New Roman" w:hAnsi="Arial" w:cs="Arial"/>
            <w:color w:val="0645AD"/>
            <w:sz w:val="24"/>
            <w:szCs w:val="24"/>
            <w:lang w:val="en" w:eastAsia="en-GB"/>
          </w:rPr>
          <w:t>Irish law</w:t>
        </w:r>
      </w:hyperlink>
      <w:r w:rsidRPr="00810686">
        <w:rPr>
          <w:rFonts w:ascii="Arial" w:eastAsia="Times New Roman" w:hAnsi="Arial" w:cs="Arial"/>
          <w:color w:val="202122"/>
          <w:sz w:val="24"/>
          <w:szCs w:val="24"/>
          <w:lang w:val="en" w:eastAsia="en-GB"/>
        </w:rPr>
        <w:t> and </w:t>
      </w:r>
      <w:hyperlink r:id="rId14" w:tooltip="Northern Irish law" w:history="1">
        <w:r w:rsidRPr="00810686">
          <w:rPr>
            <w:rFonts w:ascii="Arial" w:eastAsia="Times New Roman" w:hAnsi="Arial" w:cs="Arial"/>
            <w:color w:val="0645AD"/>
            <w:sz w:val="24"/>
            <w:szCs w:val="24"/>
            <w:lang w:val="en" w:eastAsia="en-GB"/>
          </w:rPr>
          <w:t>Northern Irish law</w:t>
        </w:r>
      </w:hyperlink>
      <w:r w:rsidRPr="00810686">
        <w:rPr>
          <w:rFonts w:ascii="Arial" w:eastAsia="Times New Roman" w:hAnsi="Arial" w:cs="Arial"/>
          <w:color w:val="202122"/>
          <w:sz w:val="24"/>
          <w:szCs w:val="24"/>
          <w:lang w:val="en" w:eastAsia="en-GB"/>
        </w:rPr>
        <w:t>.</w:t>
      </w:r>
      <w:hyperlink r:id="rId15" w:anchor="cite_note-2" w:history="1">
        <w:r w:rsidRPr="00810686">
          <w:rPr>
            <w:rFonts w:ascii="Arial" w:eastAsia="Times New Roman" w:hAnsi="Arial" w:cs="Arial"/>
            <w:color w:val="0645AD"/>
            <w:sz w:val="17"/>
            <w:szCs w:val="17"/>
            <w:vertAlign w:val="superscript"/>
            <w:lang w:val="en" w:eastAsia="en-GB"/>
          </w:rPr>
          <w:t>[2]</w:t>
        </w:r>
      </w:hyperlink>
      <w:hyperlink r:id="rId16" w:anchor="cite_note-3" w:history="1">
        <w:r w:rsidRPr="00810686">
          <w:rPr>
            <w:rFonts w:ascii="Arial" w:eastAsia="Times New Roman" w:hAnsi="Arial" w:cs="Arial"/>
            <w:color w:val="0645AD"/>
            <w:sz w:val="17"/>
            <w:szCs w:val="17"/>
            <w:vertAlign w:val="superscript"/>
            <w:lang w:val="en" w:eastAsia="en-GB"/>
          </w:rPr>
          <w:t>[3]</w:t>
        </w:r>
      </w:hyperlink>
    </w:p>
    <w:p w14:paraId="018F83C9" w14:textId="77777777" w:rsidR="00810686" w:rsidRDefault="00810686" w:rsidP="00810686">
      <w:pPr>
        <w:spacing w:before="120" w:after="120" w:line="240" w:lineRule="auto"/>
        <w:jc w:val="both"/>
        <w:rPr>
          <w:rFonts w:ascii="Arial" w:eastAsia="Times New Roman" w:hAnsi="Arial" w:cs="Arial"/>
          <w:color w:val="202122"/>
          <w:sz w:val="24"/>
          <w:szCs w:val="24"/>
          <w:lang w:val="en" w:eastAsia="en-GB"/>
        </w:rPr>
      </w:pPr>
      <w:r w:rsidRPr="00810686">
        <w:rPr>
          <w:rFonts w:ascii="Arial" w:eastAsia="Times New Roman" w:hAnsi="Arial" w:cs="Arial"/>
          <w:color w:val="202122"/>
          <w:sz w:val="24"/>
          <w:szCs w:val="24"/>
          <w:lang w:val="en" w:eastAsia="en-GB"/>
        </w:rPr>
        <w:t>The equivalent in </w:t>
      </w:r>
      <w:hyperlink r:id="rId17" w:tooltip="Scotland" w:history="1">
        <w:r w:rsidRPr="00810686">
          <w:rPr>
            <w:rFonts w:ascii="Arial" w:eastAsia="Times New Roman" w:hAnsi="Arial" w:cs="Arial"/>
            <w:color w:val="0645AD"/>
            <w:sz w:val="24"/>
            <w:szCs w:val="24"/>
            <w:lang w:val="en" w:eastAsia="en-GB"/>
          </w:rPr>
          <w:t>Scotland</w:t>
        </w:r>
      </w:hyperlink>
      <w:r w:rsidRPr="00810686">
        <w:rPr>
          <w:rFonts w:ascii="Arial" w:eastAsia="Times New Roman" w:hAnsi="Arial" w:cs="Arial"/>
          <w:color w:val="202122"/>
          <w:sz w:val="24"/>
          <w:szCs w:val="24"/>
          <w:lang w:val="en" w:eastAsia="en-GB"/>
        </w:rPr>
        <w:t> is a </w:t>
      </w:r>
      <w:hyperlink r:id="rId18" w:tooltip="Party litigant (page does not exist)" w:history="1">
        <w:r w:rsidRPr="00810686">
          <w:rPr>
            <w:rFonts w:ascii="Arial" w:eastAsia="Times New Roman" w:hAnsi="Arial" w:cs="Arial"/>
            <w:color w:val="BA0000"/>
            <w:sz w:val="24"/>
            <w:szCs w:val="24"/>
            <w:lang w:val="en" w:eastAsia="en-GB"/>
          </w:rPr>
          <w:t>party litigant</w:t>
        </w:r>
      </w:hyperlink>
      <w:r w:rsidRPr="00810686">
        <w:rPr>
          <w:rFonts w:ascii="Arial" w:eastAsia="Times New Roman" w:hAnsi="Arial" w:cs="Arial"/>
          <w:color w:val="202122"/>
          <w:sz w:val="24"/>
          <w:szCs w:val="24"/>
          <w:lang w:val="en" w:eastAsia="en-GB"/>
        </w:rPr>
        <w:t> and in the </w:t>
      </w:r>
      <w:hyperlink r:id="rId19" w:tooltip="United States" w:history="1">
        <w:r w:rsidRPr="00810686">
          <w:rPr>
            <w:rFonts w:ascii="Arial" w:eastAsia="Times New Roman" w:hAnsi="Arial" w:cs="Arial"/>
            <w:color w:val="0645AD"/>
            <w:sz w:val="24"/>
            <w:szCs w:val="24"/>
            <w:lang w:val="en" w:eastAsia="en-GB"/>
          </w:rPr>
          <w:t>United States</w:t>
        </w:r>
      </w:hyperlink>
      <w:r w:rsidRPr="00810686">
        <w:rPr>
          <w:rFonts w:ascii="Arial" w:eastAsia="Times New Roman" w:hAnsi="Arial" w:cs="Arial"/>
          <w:color w:val="202122"/>
          <w:sz w:val="24"/>
          <w:szCs w:val="24"/>
          <w:lang w:val="en" w:eastAsia="en-GB"/>
        </w:rPr>
        <w:t> is </w:t>
      </w:r>
      <w:hyperlink r:id="rId20" w:tooltip="Pro se legal representation in the United States" w:history="1">
        <w:r w:rsidRPr="00810686">
          <w:rPr>
            <w:rFonts w:ascii="Arial" w:eastAsia="Times New Roman" w:hAnsi="Arial" w:cs="Arial"/>
            <w:i/>
            <w:iCs/>
            <w:color w:val="0645AD"/>
            <w:sz w:val="24"/>
            <w:szCs w:val="24"/>
            <w:lang w:val="en" w:eastAsia="en-GB"/>
          </w:rPr>
          <w:t>pro se</w:t>
        </w:r>
        <w:r w:rsidRPr="00810686">
          <w:rPr>
            <w:rFonts w:ascii="Arial" w:eastAsia="Times New Roman" w:hAnsi="Arial" w:cs="Arial"/>
            <w:color w:val="0645AD"/>
            <w:sz w:val="24"/>
            <w:szCs w:val="24"/>
            <w:lang w:val="en" w:eastAsia="en-GB"/>
          </w:rPr>
          <w:t> legal representation</w:t>
        </w:r>
      </w:hyperlink>
      <w:r w:rsidRPr="00810686">
        <w:rPr>
          <w:rFonts w:ascii="Arial" w:eastAsia="Times New Roman" w:hAnsi="Arial" w:cs="Arial"/>
          <w:color w:val="202122"/>
          <w:sz w:val="24"/>
          <w:szCs w:val="24"/>
          <w:lang w:val="en" w:eastAsia="en-GB"/>
        </w:rPr>
        <w:t>.</w:t>
      </w:r>
    </w:p>
    <w:p w14:paraId="4E5C271D" w14:textId="04A67701" w:rsidR="00810686" w:rsidRPr="00810686" w:rsidRDefault="00810686" w:rsidP="00810686">
      <w:pPr>
        <w:spacing w:before="120" w:after="120" w:line="240" w:lineRule="auto"/>
        <w:rPr>
          <w:rFonts w:ascii="Arial" w:eastAsia="Times New Roman" w:hAnsi="Arial" w:cs="Arial"/>
          <w:color w:val="202122"/>
          <w:sz w:val="20"/>
          <w:szCs w:val="20"/>
          <w:lang w:val="en" w:eastAsia="en-GB"/>
        </w:rPr>
      </w:pPr>
      <w:r w:rsidRPr="00810686">
        <w:rPr>
          <w:rFonts w:ascii="Arial" w:eastAsia="Times New Roman" w:hAnsi="Arial" w:cs="Arial"/>
          <w:color w:val="202122"/>
          <w:sz w:val="20"/>
          <w:szCs w:val="20"/>
          <w:lang w:val="en" w:eastAsia="en-GB"/>
        </w:rPr>
        <w:object w:dxaOrig="1440" w:dyaOrig="1440" w14:anchorId="544229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20.25pt;height:18pt" o:ole="">
            <v:imagedata r:id="rId21" o:title=""/>
          </v:shape>
          <w:control r:id="rId22" w:name="DefaultOcxName" w:shapeid="_x0000_i1032"/>
        </w:object>
      </w:r>
    </w:p>
    <w:p w14:paraId="54B20C2C" w14:textId="30B39C8B" w:rsidR="00810686" w:rsidRPr="00810686" w:rsidRDefault="00810686" w:rsidP="00810686">
      <w:pPr>
        <w:pBdr>
          <w:bottom w:val="single" w:sz="6" w:space="0" w:color="A2A9B1"/>
        </w:pBdr>
        <w:spacing w:before="240" w:after="60" w:line="240" w:lineRule="auto"/>
        <w:outlineLvl w:val="1"/>
        <w:rPr>
          <w:rFonts w:ascii="Georgia" w:eastAsia="Times New Roman" w:hAnsi="Georgia" w:cs="Arial"/>
          <w:color w:val="000000"/>
          <w:sz w:val="36"/>
          <w:szCs w:val="36"/>
          <w:lang w:val="en" w:eastAsia="en-GB"/>
        </w:rPr>
      </w:pPr>
      <w:r w:rsidRPr="00810686">
        <w:rPr>
          <w:rFonts w:ascii="Georgia" w:eastAsia="Times New Roman" w:hAnsi="Georgia" w:cs="Arial"/>
          <w:color w:val="000000"/>
          <w:sz w:val="36"/>
          <w:szCs w:val="36"/>
          <w:lang w:val="en" w:eastAsia="en-GB"/>
        </w:rPr>
        <w:t>Criminal defendant</w:t>
      </w:r>
    </w:p>
    <w:p w14:paraId="4D89D444" w14:textId="77777777" w:rsidR="00810686" w:rsidRPr="00810686" w:rsidRDefault="00810686" w:rsidP="00810686">
      <w:pPr>
        <w:spacing w:before="120" w:after="120" w:line="240" w:lineRule="auto"/>
        <w:jc w:val="both"/>
        <w:rPr>
          <w:rFonts w:ascii="Arial" w:eastAsia="Times New Roman" w:hAnsi="Arial" w:cs="Arial"/>
          <w:color w:val="202122"/>
          <w:sz w:val="24"/>
          <w:szCs w:val="24"/>
          <w:lang w:val="en" w:eastAsia="en-GB"/>
        </w:rPr>
      </w:pPr>
      <w:r w:rsidRPr="00810686">
        <w:rPr>
          <w:rFonts w:ascii="Arial" w:eastAsia="Times New Roman" w:hAnsi="Arial" w:cs="Arial"/>
          <w:color w:val="202122"/>
          <w:sz w:val="24"/>
          <w:szCs w:val="24"/>
          <w:lang w:val="en" w:eastAsia="en-GB"/>
        </w:rPr>
        <w:t>A special category of </w:t>
      </w:r>
      <w:r w:rsidRPr="00810686">
        <w:rPr>
          <w:rFonts w:ascii="Arial" w:eastAsia="Times New Roman" w:hAnsi="Arial" w:cs="Arial"/>
          <w:i/>
          <w:iCs/>
          <w:color w:val="202122"/>
          <w:sz w:val="24"/>
          <w:szCs w:val="24"/>
          <w:lang w:val="en" w:eastAsia="en-GB"/>
        </w:rPr>
        <w:t>litigant in person</w:t>
      </w:r>
      <w:r w:rsidRPr="00810686">
        <w:rPr>
          <w:rFonts w:ascii="Arial" w:eastAsia="Times New Roman" w:hAnsi="Arial" w:cs="Arial"/>
          <w:color w:val="202122"/>
          <w:sz w:val="24"/>
          <w:szCs w:val="24"/>
          <w:lang w:val="en" w:eastAsia="en-GB"/>
        </w:rPr>
        <w:t xml:space="preserve"> arises when a defendant in a criminal case dismisses their </w:t>
      </w:r>
      <w:proofErr w:type="spellStart"/>
      <w:r w:rsidRPr="00810686">
        <w:rPr>
          <w:rFonts w:ascii="Arial" w:eastAsia="Times New Roman" w:hAnsi="Arial" w:cs="Arial"/>
          <w:color w:val="202122"/>
          <w:sz w:val="24"/>
          <w:szCs w:val="24"/>
          <w:lang w:val="en" w:eastAsia="en-GB"/>
        </w:rPr>
        <w:t>defence</w:t>
      </w:r>
      <w:proofErr w:type="spellEnd"/>
      <w:r w:rsidRPr="00810686">
        <w:rPr>
          <w:rFonts w:ascii="Arial" w:eastAsia="Times New Roman" w:hAnsi="Arial" w:cs="Arial"/>
          <w:color w:val="202122"/>
          <w:sz w:val="24"/>
          <w:szCs w:val="24"/>
          <w:lang w:val="en" w:eastAsia="en-GB"/>
        </w:rPr>
        <w:t xml:space="preserve"> counsel and chooses to defend the case themselves. This is almost invariably an inadvisable course of </w:t>
      </w:r>
      <w:proofErr w:type="gramStart"/>
      <w:r w:rsidRPr="00810686">
        <w:rPr>
          <w:rFonts w:ascii="Arial" w:eastAsia="Times New Roman" w:hAnsi="Arial" w:cs="Arial"/>
          <w:color w:val="202122"/>
          <w:sz w:val="24"/>
          <w:szCs w:val="24"/>
          <w:lang w:val="en" w:eastAsia="en-GB"/>
        </w:rPr>
        <w:t>action, since</w:t>
      </w:r>
      <w:proofErr w:type="gramEnd"/>
      <w:r w:rsidRPr="00810686">
        <w:rPr>
          <w:rFonts w:ascii="Arial" w:eastAsia="Times New Roman" w:hAnsi="Arial" w:cs="Arial"/>
          <w:color w:val="202122"/>
          <w:sz w:val="24"/>
          <w:szCs w:val="24"/>
          <w:lang w:val="en" w:eastAsia="en-GB"/>
        </w:rPr>
        <w:t xml:space="preserve"> the law and procedure can be complex and the penalties if convicted can be severe. Furthermore, in some jurisdictions the </w:t>
      </w:r>
      <w:r w:rsidRPr="00810686">
        <w:rPr>
          <w:rFonts w:ascii="Arial" w:eastAsia="Times New Roman" w:hAnsi="Arial" w:cs="Arial"/>
          <w:i/>
          <w:iCs/>
          <w:color w:val="202122"/>
          <w:sz w:val="24"/>
          <w:szCs w:val="24"/>
          <w:lang w:val="en" w:eastAsia="en-GB"/>
        </w:rPr>
        <w:t>litigant in person</w:t>
      </w:r>
      <w:r w:rsidRPr="00810686">
        <w:rPr>
          <w:rFonts w:ascii="Arial" w:eastAsia="Times New Roman" w:hAnsi="Arial" w:cs="Arial"/>
          <w:color w:val="202122"/>
          <w:sz w:val="24"/>
          <w:szCs w:val="24"/>
          <w:lang w:val="en" w:eastAsia="en-GB"/>
        </w:rPr>
        <w:t> is restricted from cross-examining the alleged victim in </w:t>
      </w:r>
      <w:hyperlink r:id="rId23" w:tooltip="Rape" w:history="1">
        <w:r w:rsidRPr="00810686">
          <w:rPr>
            <w:rFonts w:ascii="Arial" w:eastAsia="Times New Roman" w:hAnsi="Arial" w:cs="Arial"/>
            <w:color w:val="0645AD"/>
            <w:sz w:val="24"/>
            <w:szCs w:val="24"/>
            <w:lang w:val="en" w:eastAsia="en-GB"/>
          </w:rPr>
          <w:t>rape</w:t>
        </w:r>
      </w:hyperlink>
      <w:r w:rsidRPr="00810686">
        <w:rPr>
          <w:rFonts w:ascii="Arial" w:eastAsia="Times New Roman" w:hAnsi="Arial" w:cs="Arial"/>
          <w:color w:val="202122"/>
          <w:sz w:val="24"/>
          <w:szCs w:val="24"/>
          <w:lang w:val="en" w:eastAsia="en-GB"/>
        </w:rPr>
        <w:t xml:space="preserve"> and other serious sexual offences. The underlying policy is that an alleged victim should not have to answer directly to an alleged rapist. The right of the individual to defend themselves </w:t>
      </w:r>
      <w:proofErr w:type="gramStart"/>
      <w:r w:rsidRPr="00810686">
        <w:rPr>
          <w:rFonts w:ascii="Arial" w:eastAsia="Times New Roman" w:hAnsi="Arial" w:cs="Arial"/>
          <w:color w:val="202122"/>
          <w:sz w:val="24"/>
          <w:szCs w:val="24"/>
          <w:lang w:val="en" w:eastAsia="en-GB"/>
        </w:rPr>
        <w:t>is in conflict with</w:t>
      </w:r>
      <w:proofErr w:type="gramEnd"/>
      <w:r w:rsidRPr="00810686">
        <w:rPr>
          <w:rFonts w:ascii="Arial" w:eastAsia="Times New Roman" w:hAnsi="Arial" w:cs="Arial"/>
          <w:color w:val="202122"/>
          <w:sz w:val="24"/>
          <w:szCs w:val="24"/>
          <w:lang w:val="en" w:eastAsia="en-GB"/>
        </w:rPr>
        <w:t xml:space="preserve"> the need to protect the alleged victim from any further humiliation. In the </w:t>
      </w:r>
      <w:proofErr w:type="gramStart"/>
      <w:r w:rsidRPr="00810686">
        <w:rPr>
          <w:rFonts w:ascii="Arial" w:eastAsia="Times New Roman" w:hAnsi="Arial" w:cs="Arial"/>
          <w:color w:val="202122"/>
          <w:sz w:val="24"/>
          <w:szCs w:val="24"/>
          <w:lang w:val="en" w:eastAsia="en-GB"/>
        </w:rPr>
        <w:t>UK</w:t>
      </w:r>
      <w:proofErr w:type="gramEnd"/>
      <w:r w:rsidRPr="00810686">
        <w:rPr>
          <w:rFonts w:ascii="Arial" w:eastAsia="Times New Roman" w:hAnsi="Arial" w:cs="Arial"/>
          <w:color w:val="202122"/>
          <w:sz w:val="24"/>
          <w:szCs w:val="24"/>
          <w:lang w:val="en" w:eastAsia="en-GB"/>
        </w:rPr>
        <w:t xml:space="preserve"> this conflict is resolved by the court appointing a special counsel at public expense to conduct cross-examination.</w:t>
      </w:r>
    </w:p>
    <w:p w14:paraId="3BA11E34" w14:textId="77777777" w:rsidR="00810686" w:rsidRPr="00810686" w:rsidRDefault="00810686" w:rsidP="00810686">
      <w:pPr>
        <w:spacing w:before="120" w:after="120" w:line="240" w:lineRule="auto"/>
        <w:jc w:val="both"/>
        <w:rPr>
          <w:rFonts w:ascii="Arial" w:eastAsia="Times New Roman" w:hAnsi="Arial" w:cs="Arial"/>
          <w:color w:val="202122"/>
          <w:sz w:val="24"/>
          <w:szCs w:val="24"/>
          <w:lang w:val="en" w:eastAsia="en-GB"/>
        </w:rPr>
      </w:pPr>
      <w:r w:rsidRPr="00810686">
        <w:rPr>
          <w:rFonts w:ascii="Arial" w:eastAsia="Times New Roman" w:hAnsi="Arial" w:cs="Arial"/>
          <w:color w:val="202122"/>
          <w:sz w:val="24"/>
          <w:szCs w:val="24"/>
          <w:lang w:val="en" w:eastAsia="en-GB"/>
        </w:rPr>
        <w:t xml:space="preserve">High-profile cases in Scotland where the accused conducted his own </w:t>
      </w:r>
      <w:proofErr w:type="spellStart"/>
      <w:r w:rsidRPr="00810686">
        <w:rPr>
          <w:rFonts w:ascii="Arial" w:eastAsia="Times New Roman" w:hAnsi="Arial" w:cs="Arial"/>
          <w:color w:val="202122"/>
          <w:sz w:val="24"/>
          <w:szCs w:val="24"/>
          <w:lang w:val="en" w:eastAsia="en-GB"/>
        </w:rPr>
        <w:t>defence</w:t>
      </w:r>
      <w:proofErr w:type="spellEnd"/>
      <w:r w:rsidRPr="00810686">
        <w:rPr>
          <w:rFonts w:ascii="Arial" w:eastAsia="Times New Roman" w:hAnsi="Arial" w:cs="Arial"/>
          <w:color w:val="202122"/>
          <w:sz w:val="24"/>
          <w:szCs w:val="24"/>
          <w:lang w:val="en" w:eastAsia="en-GB"/>
        </w:rPr>
        <w:t xml:space="preserve"> and lost were </w:t>
      </w:r>
      <w:hyperlink r:id="rId24" w:tooltip="Peter Manuel" w:history="1">
        <w:r w:rsidRPr="00810686">
          <w:rPr>
            <w:rFonts w:ascii="Arial" w:eastAsia="Times New Roman" w:hAnsi="Arial" w:cs="Arial"/>
            <w:color w:val="0645AD"/>
            <w:sz w:val="24"/>
            <w:szCs w:val="24"/>
            <w:lang w:val="en" w:eastAsia="en-GB"/>
          </w:rPr>
          <w:t>Peter Manuel</w:t>
        </w:r>
      </w:hyperlink>
      <w:r w:rsidRPr="00810686">
        <w:rPr>
          <w:rFonts w:ascii="Arial" w:eastAsia="Times New Roman" w:hAnsi="Arial" w:cs="Arial"/>
          <w:color w:val="202122"/>
          <w:sz w:val="24"/>
          <w:szCs w:val="24"/>
          <w:lang w:val="en" w:eastAsia="en-GB"/>
        </w:rPr>
        <w:t> (who was hanged) and </w:t>
      </w:r>
      <w:hyperlink r:id="rId25" w:tooltip="Tommy Sheridan" w:history="1">
        <w:r w:rsidRPr="00810686">
          <w:rPr>
            <w:rFonts w:ascii="Arial" w:eastAsia="Times New Roman" w:hAnsi="Arial" w:cs="Arial"/>
            <w:color w:val="0645AD"/>
            <w:sz w:val="24"/>
            <w:szCs w:val="24"/>
            <w:lang w:val="en" w:eastAsia="en-GB"/>
          </w:rPr>
          <w:t>Tommy Sheridan</w:t>
        </w:r>
      </w:hyperlink>
      <w:r w:rsidRPr="00810686">
        <w:rPr>
          <w:rFonts w:ascii="Arial" w:eastAsia="Times New Roman" w:hAnsi="Arial" w:cs="Arial"/>
          <w:color w:val="202122"/>
          <w:sz w:val="24"/>
          <w:szCs w:val="24"/>
          <w:lang w:val="en" w:eastAsia="en-GB"/>
        </w:rPr>
        <w:t>.</w:t>
      </w:r>
    </w:p>
    <w:p w14:paraId="2F108124" w14:textId="57BD30E4" w:rsidR="00810686" w:rsidRPr="00810686" w:rsidRDefault="00810686" w:rsidP="00810686">
      <w:pPr>
        <w:pBdr>
          <w:bottom w:val="single" w:sz="6" w:space="0" w:color="A2A9B1"/>
        </w:pBdr>
        <w:spacing w:before="240" w:after="60" w:line="240" w:lineRule="auto"/>
        <w:outlineLvl w:val="1"/>
        <w:rPr>
          <w:rFonts w:ascii="Georgia" w:eastAsia="Times New Roman" w:hAnsi="Georgia" w:cs="Arial"/>
          <w:color w:val="000000"/>
          <w:sz w:val="36"/>
          <w:szCs w:val="36"/>
          <w:lang w:val="en" w:eastAsia="en-GB"/>
        </w:rPr>
      </w:pPr>
      <w:r w:rsidRPr="00810686">
        <w:rPr>
          <w:rFonts w:ascii="Georgia" w:eastAsia="Times New Roman" w:hAnsi="Georgia" w:cs="Arial"/>
          <w:color w:val="000000"/>
          <w:sz w:val="36"/>
          <w:szCs w:val="36"/>
          <w:lang w:val="en" w:eastAsia="en-GB"/>
        </w:rPr>
        <w:t>Appellant in person</w:t>
      </w:r>
    </w:p>
    <w:p w14:paraId="27370A29" w14:textId="77777777" w:rsidR="00810686" w:rsidRPr="00810686" w:rsidRDefault="00810686" w:rsidP="00810686">
      <w:pPr>
        <w:spacing w:before="120" w:after="120" w:line="240" w:lineRule="auto"/>
        <w:jc w:val="both"/>
        <w:rPr>
          <w:rFonts w:ascii="Arial" w:eastAsia="Times New Roman" w:hAnsi="Arial" w:cs="Arial"/>
          <w:color w:val="202122"/>
          <w:sz w:val="24"/>
          <w:szCs w:val="24"/>
          <w:lang w:val="en" w:eastAsia="en-GB"/>
        </w:rPr>
      </w:pPr>
      <w:r w:rsidRPr="00810686">
        <w:rPr>
          <w:rFonts w:ascii="Arial" w:eastAsia="Times New Roman" w:hAnsi="Arial" w:cs="Arial"/>
          <w:color w:val="202122"/>
          <w:sz w:val="24"/>
          <w:szCs w:val="24"/>
          <w:lang w:val="en" w:eastAsia="en-GB"/>
        </w:rPr>
        <w:t xml:space="preserve">An appellant in person is someone who by their own choice, or because their former counsel is </w:t>
      </w:r>
      <w:proofErr w:type="spellStart"/>
      <w:r w:rsidRPr="00810686">
        <w:rPr>
          <w:rFonts w:ascii="Arial" w:eastAsia="Times New Roman" w:hAnsi="Arial" w:cs="Arial"/>
          <w:color w:val="202122"/>
          <w:sz w:val="24"/>
          <w:szCs w:val="24"/>
          <w:lang w:val="en" w:eastAsia="en-GB"/>
        </w:rPr>
        <w:t>criticised</w:t>
      </w:r>
      <w:proofErr w:type="spellEnd"/>
      <w:r w:rsidRPr="00810686">
        <w:rPr>
          <w:rFonts w:ascii="Arial" w:eastAsia="Times New Roman" w:hAnsi="Arial" w:cs="Arial"/>
          <w:color w:val="202122"/>
          <w:sz w:val="24"/>
          <w:szCs w:val="24"/>
          <w:lang w:val="en" w:eastAsia="en-GB"/>
        </w:rPr>
        <w:t xml:space="preserve"> and has withdrawn, is conducting their own appeal at a Crown Court or at the Court of Appeal Criminal Division. The number of appellants who choose to do this are exceptionally small, mainly due to the inherent risks involved, appellants who serve a custodial sentence can have part of that sentence ordered to be served again if the court is of the view that the application is without merit. They must also understand highly complex court procedures, prepare detailed legal </w:t>
      </w:r>
      <w:proofErr w:type="gramStart"/>
      <w:r w:rsidRPr="00810686">
        <w:rPr>
          <w:rFonts w:ascii="Arial" w:eastAsia="Times New Roman" w:hAnsi="Arial" w:cs="Arial"/>
          <w:color w:val="202122"/>
          <w:sz w:val="24"/>
          <w:szCs w:val="24"/>
          <w:lang w:val="en" w:eastAsia="en-GB"/>
        </w:rPr>
        <w:t>paperwork</w:t>
      </w:r>
      <w:proofErr w:type="gramEnd"/>
      <w:r w:rsidRPr="00810686">
        <w:rPr>
          <w:rFonts w:ascii="Arial" w:eastAsia="Times New Roman" w:hAnsi="Arial" w:cs="Arial"/>
          <w:color w:val="202122"/>
          <w:sz w:val="24"/>
          <w:szCs w:val="24"/>
          <w:lang w:val="en" w:eastAsia="en-GB"/>
        </w:rPr>
        <w:t xml:space="preserve"> and orally argue a full legal appeal case in front of three High Court judges and a full court.</w:t>
      </w:r>
    </w:p>
    <w:p w14:paraId="5A4C181E" w14:textId="77777777" w:rsidR="00A74CC4" w:rsidRDefault="00A74CC4"/>
    <w:sectPr w:rsidR="00A74C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0F6BF2"/>
    <w:multiLevelType w:val="multilevel"/>
    <w:tmpl w:val="C46E5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686"/>
    <w:rsid w:val="00810686"/>
    <w:rsid w:val="00A74C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2B412"/>
  <w15:chartTrackingRefBased/>
  <w15:docId w15:val="{A148A8B6-40D4-49EA-A660-95EE84463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1068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81068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686"/>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810686"/>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semiHidden/>
    <w:unhideWhenUsed/>
    <w:rsid w:val="00810686"/>
    <w:rPr>
      <w:color w:val="0000FF"/>
      <w:u w:val="single"/>
    </w:rPr>
  </w:style>
  <w:style w:type="paragraph" w:styleId="NormalWeb">
    <w:name w:val="Normal (Web)"/>
    <w:basedOn w:val="Normal"/>
    <w:uiPriority w:val="99"/>
    <w:semiHidden/>
    <w:unhideWhenUsed/>
    <w:rsid w:val="0081068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oclevel-1">
    <w:name w:val="toclevel-1"/>
    <w:basedOn w:val="Normal"/>
    <w:rsid w:val="0081068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ocnumber">
    <w:name w:val="tocnumber"/>
    <w:basedOn w:val="DefaultParagraphFont"/>
    <w:rsid w:val="00810686"/>
  </w:style>
  <w:style w:type="character" w:customStyle="1" w:styleId="toctext">
    <w:name w:val="toctext"/>
    <w:basedOn w:val="DefaultParagraphFont"/>
    <w:rsid w:val="00810686"/>
  </w:style>
  <w:style w:type="character" w:customStyle="1" w:styleId="mw-headline">
    <w:name w:val="mw-headline"/>
    <w:basedOn w:val="DefaultParagraphFont"/>
    <w:rsid w:val="00810686"/>
  </w:style>
  <w:style w:type="character" w:customStyle="1" w:styleId="mw-editsection">
    <w:name w:val="mw-editsection"/>
    <w:basedOn w:val="DefaultParagraphFont"/>
    <w:rsid w:val="00810686"/>
  </w:style>
  <w:style w:type="character" w:customStyle="1" w:styleId="mw-editsection-bracket">
    <w:name w:val="mw-editsection-bracket"/>
    <w:basedOn w:val="DefaultParagraphFont"/>
    <w:rsid w:val="00810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2169584">
      <w:bodyDiv w:val="1"/>
      <w:marLeft w:val="0"/>
      <w:marRight w:val="0"/>
      <w:marTop w:val="0"/>
      <w:marBottom w:val="0"/>
      <w:divBdr>
        <w:top w:val="none" w:sz="0" w:space="0" w:color="auto"/>
        <w:left w:val="none" w:sz="0" w:space="0" w:color="auto"/>
        <w:bottom w:val="none" w:sz="0" w:space="0" w:color="auto"/>
        <w:right w:val="none" w:sz="0" w:space="0" w:color="auto"/>
      </w:divBdr>
      <w:divsChild>
        <w:div w:id="146868411">
          <w:marLeft w:val="0"/>
          <w:marRight w:val="0"/>
          <w:marTop w:val="0"/>
          <w:marBottom w:val="0"/>
          <w:divBdr>
            <w:top w:val="none" w:sz="0" w:space="0" w:color="auto"/>
            <w:left w:val="none" w:sz="0" w:space="0" w:color="auto"/>
            <w:bottom w:val="none" w:sz="0" w:space="0" w:color="auto"/>
            <w:right w:val="none" w:sz="0" w:space="0" w:color="auto"/>
          </w:divBdr>
          <w:divsChild>
            <w:div w:id="2078933787">
              <w:marLeft w:val="0"/>
              <w:marRight w:val="0"/>
              <w:marTop w:val="0"/>
              <w:marBottom w:val="0"/>
              <w:divBdr>
                <w:top w:val="none" w:sz="0" w:space="0" w:color="auto"/>
                <w:left w:val="none" w:sz="0" w:space="0" w:color="auto"/>
                <w:bottom w:val="none" w:sz="0" w:space="0" w:color="auto"/>
                <w:right w:val="none" w:sz="0" w:space="0" w:color="auto"/>
              </w:divBdr>
            </w:div>
            <w:div w:id="413480020">
              <w:marLeft w:val="0"/>
              <w:marRight w:val="0"/>
              <w:marTop w:val="0"/>
              <w:marBottom w:val="0"/>
              <w:divBdr>
                <w:top w:val="none" w:sz="0" w:space="0" w:color="auto"/>
                <w:left w:val="none" w:sz="0" w:space="0" w:color="auto"/>
                <w:bottom w:val="none" w:sz="0" w:space="0" w:color="auto"/>
                <w:right w:val="none" w:sz="0" w:space="0" w:color="auto"/>
              </w:divBdr>
              <w:divsChild>
                <w:div w:id="1483547604">
                  <w:marLeft w:val="0"/>
                  <w:marRight w:val="0"/>
                  <w:marTop w:val="0"/>
                  <w:marBottom w:val="0"/>
                  <w:divBdr>
                    <w:top w:val="none" w:sz="0" w:space="0" w:color="auto"/>
                    <w:left w:val="none" w:sz="0" w:space="0" w:color="auto"/>
                    <w:bottom w:val="none" w:sz="0" w:space="0" w:color="auto"/>
                    <w:right w:val="none" w:sz="0" w:space="0" w:color="auto"/>
                  </w:divBdr>
                  <w:divsChild>
                    <w:div w:id="11997638">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olicitor" TargetMode="External"/><Relationship Id="rId13" Type="http://schemas.openxmlformats.org/officeDocument/2006/relationships/hyperlink" Target="https://en.wikipedia.org/wiki/Law_of_the_Republic_of_Ireland" TargetMode="External"/><Relationship Id="rId18" Type="http://schemas.openxmlformats.org/officeDocument/2006/relationships/hyperlink" Target="https://en.wikipedia.org/w/index.php?title=Party_litigant&amp;action=edit&amp;redlink=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wmf"/><Relationship Id="rId7" Type="http://schemas.openxmlformats.org/officeDocument/2006/relationships/hyperlink" Target="https://en.wikipedia.org/wiki/Courts_of_England_and_Wales" TargetMode="External"/><Relationship Id="rId12" Type="http://schemas.openxmlformats.org/officeDocument/2006/relationships/hyperlink" Target="https://en.wikipedia.org/wiki/Citizens_Advice_Bureau" TargetMode="External"/><Relationship Id="rId17" Type="http://schemas.openxmlformats.org/officeDocument/2006/relationships/hyperlink" Target="https://en.wikipedia.org/wiki/Scotland" TargetMode="External"/><Relationship Id="rId25" Type="http://schemas.openxmlformats.org/officeDocument/2006/relationships/hyperlink" Target="https://en.wikipedia.org/wiki/Tommy_Sheridan" TargetMode="External"/><Relationship Id="rId2" Type="http://schemas.openxmlformats.org/officeDocument/2006/relationships/styles" Target="styles.xml"/><Relationship Id="rId16" Type="http://schemas.openxmlformats.org/officeDocument/2006/relationships/hyperlink" Target="https://en.wikipedia.org/wiki/Litigant_in_person" TargetMode="External"/><Relationship Id="rId20" Type="http://schemas.openxmlformats.org/officeDocument/2006/relationships/hyperlink" Target="https://en.wikipedia.org/wiki/Pro_se_legal_representation_in_the_United_States" TargetMode="External"/><Relationship Id="rId1" Type="http://schemas.openxmlformats.org/officeDocument/2006/relationships/numbering" Target="numbering.xml"/><Relationship Id="rId6" Type="http://schemas.openxmlformats.org/officeDocument/2006/relationships/hyperlink" Target="https://en.wikipedia.org/wiki/Rights_of_audience" TargetMode="External"/><Relationship Id="rId11" Type="http://schemas.openxmlformats.org/officeDocument/2006/relationships/hyperlink" Target="https://en.wikipedia.org/wiki/Litigant_in_person" TargetMode="External"/><Relationship Id="rId24" Type="http://schemas.openxmlformats.org/officeDocument/2006/relationships/hyperlink" Target="https://en.wikipedia.org/wiki/Peter_Manuel" TargetMode="External"/><Relationship Id="rId5" Type="http://schemas.openxmlformats.org/officeDocument/2006/relationships/hyperlink" Target="https://en.wikipedia.org/wiki/England_and_Wales" TargetMode="External"/><Relationship Id="rId15" Type="http://schemas.openxmlformats.org/officeDocument/2006/relationships/hyperlink" Target="https://en.wikipedia.org/wiki/Litigant_in_person" TargetMode="External"/><Relationship Id="rId23" Type="http://schemas.openxmlformats.org/officeDocument/2006/relationships/hyperlink" Target="https://en.wikipedia.org/wiki/Rape" TargetMode="External"/><Relationship Id="rId10" Type="http://schemas.openxmlformats.org/officeDocument/2006/relationships/hyperlink" Target="https://en.wikipedia.org/wiki/Public_Access_Scheme" TargetMode="External"/><Relationship Id="rId19" Type="http://schemas.openxmlformats.org/officeDocument/2006/relationships/hyperlink" Target="https://en.wikipedia.org/wiki/United_States" TargetMode="External"/><Relationship Id="rId4" Type="http://schemas.openxmlformats.org/officeDocument/2006/relationships/webSettings" Target="webSettings.xml"/><Relationship Id="rId9" Type="http://schemas.openxmlformats.org/officeDocument/2006/relationships/hyperlink" Target="https://en.wikipedia.org/wiki/Barrister" TargetMode="External"/><Relationship Id="rId14" Type="http://schemas.openxmlformats.org/officeDocument/2006/relationships/hyperlink" Target="https://en.wikipedia.org/wiki/Northern_Irish_law" TargetMode="External"/><Relationship Id="rId22" Type="http://schemas.openxmlformats.org/officeDocument/2006/relationships/control" Target="activeX/activeX1.xml"/><Relationship Id="rId27"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644</Words>
  <Characters>3676</Characters>
  <Application>Microsoft Office Word</Application>
  <DocSecurity>0</DocSecurity>
  <Lines>30</Lines>
  <Paragraphs>8</Paragraphs>
  <ScaleCrop>false</ScaleCrop>
  <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 Jones</dc:creator>
  <cp:keywords/>
  <dc:description/>
  <cp:lastModifiedBy>Lauri Jones</cp:lastModifiedBy>
  <cp:revision>1</cp:revision>
  <dcterms:created xsi:type="dcterms:W3CDTF">2021-03-19T13:44:00Z</dcterms:created>
  <dcterms:modified xsi:type="dcterms:W3CDTF">2021-03-19T13:46:00Z</dcterms:modified>
</cp:coreProperties>
</file>